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rFonts w:ascii="Calibri" w:hAnsi="Calibri"/>
          <w:b/>
          <w:color w:val="000000"/>
          <w:sz w:val="40"/>
        </w:rPr>
        <w:t>RAPPORT D'ACTIVITÉ</w:t>
      </w:r>
    </w:p>
    <w:p>
      <w:pPr>
        <w:jc w:val="center"/>
      </w:pPr>
      <w:r>
        <w:rPr>
          <w:rFonts w:ascii="Calibri" w:hAnsi="Calibri"/>
          <w:rFonts w:ascii="Calibri" w:hAnsi="Calibri"/>
          <w:b/>
          <w:color w:val="B8860B"/>
          <w:sz w:val="32"/>
        </w:rPr>
        <w:t>Semaine de l'Excellence Féminine Africaine – SEFA 2026</w:t>
      </w:r>
    </w:p>
    <w:p>
      <w:pPr>
        <w:jc w:val="center"/>
      </w:pPr>
      <w:r>
        <w:rPr>
          <w:rFonts w:ascii="Calibri" w:hAnsi="Calibri"/>
          <w:rFonts w:ascii="Calibri" w:hAnsi="Calibri"/>
          <w:b/>
          <w:color w:val="646464"/>
          <w:sz w:val="26"/>
        </w:rPr>
        <w:t>African Women's Awards (AWA)</w:t>
      </w:r>
    </w:p>
    <w:p>
      <w:pPr>
        <w:jc w:val="center"/>
      </w:pPr>
      <w:r>
        <w:rPr>
          <w:rFonts w:ascii="Calibri" w:hAnsi="Calibri"/>
          <w:rFonts w:ascii="Calibri" w:hAnsi="Calibri"/>
          <w:b w:val="0"/>
          <w:color w:val="646464"/>
          <w:sz w:val="22"/>
        </w:rPr>
        <w:t>République de Guinée – Conakry</w:t>
      </w:r>
    </w:p>
    <w:p>
      <w:pPr>
        <w:jc w:val="center"/>
      </w:pPr>
      <w:r>
        <w:rPr>
          <w:rFonts w:ascii="Calibri" w:hAnsi="Calibri"/>
          <w:rFonts w:ascii="Calibri" w:hAnsi="Calibri"/>
          <w:b w:val="0"/>
          <w:color w:val="646464"/>
          <w:sz w:val="22"/>
        </w:rPr>
        <w:t>24 – 30 mars 2026</w:t>
      </w:r>
    </w:p>
    <w:p/>
    <w:p>
      <w:pPr>
        <w:jc w:val="center"/>
      </w:pPr>
      <w:r>
        <w:rPr>
          <w:rFonts w:ascii="Calibri" w:hAnsi="Calibri"/>
          <w:rFonts w:ascii="Calibri" w:hAnsi="Calibri"/>
          <w:b w:val="0"/>
          <w:color w:val="969696"/>
          <w:sz w:val="20"/>
        </w:rPr>
        <w:t>Document confidentiel – Juin 2026</w:t>
      </w:r>
    </w:p>
    <w:p>
      <w:r>
        <w:t>────────────────────────────────────────────────────────────────────────────────</w:t>
      </w:r>
    </w:p>
    <w:p>
      <w:r>
        <w:rPr>
          <w:rFonts w:ascii="Calibri" w:hAnsi="Calibri"/>
          <w:rFonts w:ascii="Calibri" w:hAnsi="Calibri"/>
          <w:b/>
          <w:color w:val="000000"/>
          <w:sz w:val="36"/>
        </w:rPr>
        <w:t>SOMMAIRE</w:t>
      </w:r>
    </w:p>
    <w:p>
      <w:r>
        <w:rPr>
          <w:rFonts w:ascii="Calibri" w:hAnsi="Calibri"/>
          <w:rFonts w:ascii="Calibri" w:hAnsi="Calibri"/>
          <w:b w:val="0"/>
          <w:i w:val="0"/>
          <w:sz w:val="22"/>
        </w:rPr>
        <w:t>1. Introduction</w:t>
      </w:r>
    </w:p>
    <w:p>
      <w:r>
        <w:rPr>
          <w:rFonts w:ascii="Calibri" w:hAnsi="Calibri"/>
          <w:rFonts w:ascii="Calibri" w:hAnsi="Calibri"/>
          <w:b w:val="0"/>
          <w:i w:val="0"/>
          <w:sz w:val="22"/>
        </w:rPr>
        <w:t>2. AWA Pitch Day – Concours de projets féminins</w:t>
      </w:r>
    </w:p>
    <w:p>
      <w:r>
        <w:rPr>
          <w:rFonts w:ascii="Calibri" w:hAnsi="Calibri"/>
          <w:rFonts w:ascii="Calibri" w:hAnsi="Calibri"/>
          <w:b w:val="0"/>
          <w:i w:val="0"/>
          <w:sz w:val="22"/>
        </w:rPr>
        <w:t>3. Grand Sommet du 28 mars</w:t>
      </w:r>
    </w:p>
    <w:p>
      <w:r>
        <w:rPr>
          <w:rFonts w:ascii="Calibri" w:hAnsi="Calibri"/>
          <w:rFonts w:ascii="Calibri" w:hAnsi="Calibri"/>
          <w:b w:val="0"/>
          <w:i w:val="0"/>
          <w:sz w:val="22"/>
        </w:rPr>
        <w:t>4. Cérémonie de remise des distinctions</w:t>
      </w:r>
    </w:p>
    <w:p>
      <w:r>
        <w:rPr>
          <w:rFonts w:ascii="Calibri" w:hAnsi="Calibri"/>
          <w:rFonts w:ascii="Calibri" w:hAnsi="Calibri"/>
          <w:b w:val="0"/>
          <w:i w:val="0"/>
          <w:sz w:val="22"/>
        </w:rPr>
        <w:t>5. Bilan et résultats</w:t>
      </w:r>
    </w:p>
    <w:p>
      <w:r>
        <w:rPr>
          <w:rFonts w:ascii="Calibri" w:hAnsi="Calibri"/>
          <w:rFonts w:ascii="Calibri" w:hAnsi="Calibri"/>
          <w:b w:val="0"/>
          <w:i w:val="0"/>
          <w:sz w:val="22"/>
        </w:rPr>
        <w:t>6. Difficultés rencontrées</w:t>
      </w:r>
    </w:p>
    <w:p>
      <w:r>
        <w:rPr>
          <w:rFonts w:ascii="Calibri" w:hAnsi="Calibri"/>
          <w:rFonts w:ascii="Calibri" w:hAnsi="Calibri"/>
          <w:b w:val="0"/>
          <w:i w:val="0"/>
          <w:sz w:val="22"/>
        </w:rPr>
        <w:t>7. Enseignements et perspectives</w:t>
      </w:r>
    </w:p>
    <w:p/>
    <w:p>
      <w:r>
        <w:rPr>
          <w:rFonts w:ascii="Calibri" w:hAnsi="Calibri"/>
          <w:rFonts w:ascii="Calibri" w:hAnsi="Calibri"/>
          <w:b/>
          <w:color w:val="B8860B"/>
          <w:sz w:val="36"/>
        </w:rPr>
        <w:t>1. INTRODUCTION</w:t>
      </w:r>
    </w:p>
    <w:p>
      <w:r>
        <w:rPr>
          <w:rFonts w:ascii="Calibri" w:hAnsi="Calibri"/>
          <w:rFonts w:ascii="Calibri" w:hAnsi="Calibri"/>
          <w:b w:val="0"/>
          <w:i w:val="0"/>
          <w:sz w:val="22"/>
        </w:rPr>
        <w:t>La Semaine de l'Excellence Féminine Africaine (SEFA 2026), portée par les African Women's Awards (AWA), s'est tenue du 24 au 30 mars 2026 à Conakry, en République de Guinée. Cette quatrième édition a réuni des femmes leaders, des jeunes entrepreneures, des institutions et des partenaires de plus de quinze pays africains francophones et de la diaspora.</w:t>
      </w:r>
    </w:p>
    <w:p>
      <w:r>
        <w:rPr>
          <w:rFonts w:ascii="Calibri" w:hAnsi="Calibri"/>
          <w:rFonts w:ascii="Calibri" w:hAnsi="Calibri"/>
          <w:b w:val="0"/>
          <w:i w:val="0"/>
          <w:sz w:val="22"/>
        </w:rPr>
        <w:t>L'objectif était clair : offrir un cadre structuré pour former, connecter, soutenir et reconnaître les femmes africaines comme actrices du développement de leur société. La semaine s'est articulée autour de trois temps forts :</w:t>
      </w:r>
    </w:p>
    <w:p>
      <w:pPr>
        <w:pStyle w:val="ListBullet"/>
        <w:spacing w:after="60"/>
        <w:ind w:left="360"/>
      </w:pPr>
      <w:r>
        <w:t>L'AWA Pitch Day (27 mars) – concours de projets féminins</w:t>
      </w:r>
    </w:p>
    <w:p>
      <w:pPr>
        <w:pStyle w:val="ListBullet"/>
        <w:spacing w:after="60"/>
        <w:ind w:left="360"/>
      </w:pPr>
      <w:r>
        <w:t>Le Grand Sommet (28 mars) – espace de dialogue intergénérationnel et panel de haut niveau</w:t>
      </w:r>
    </w:p>
    <w:p>
      <w:pPr>
        <w:pStyle w:val="ListBullet"/>
        <w:spacing w:after="60"/>
        <w:ind w:left="360"/>
      </w:pPr>
      <w:r>
        <w:t>La Cérémonie de remise des distinctions (29 mars) – reconnaissance des parcours exceptionnels</w:t>
      </w:r>
    </w:p>
    <w:p>
      <w:r>
        <w:rPr>
          <w:rFonts w:ascii="Calibri" w:hAnsi="Calibri"/>
          <w:rFonts w:ascii="Calibri" w:hAnsi="Calibri"/>
          <w:b w:val="0"/>
          <w:i w:val="0"/>
          <w:sz w:val="22"/>
        </w:rPr>
        <w:t>Ce rapport rend compte du déroulement de chaque activité, des résultats obtenus, des difficultés rencontrées et des perspectives pour les éditions futures.</w:t>
      </w:r>
    </w:p>
    <w:p>
      <w:r>
        <w:rPr>
          <w:rFonts w:ascii="Calibri" w:hAnsi="Calibri"/>
          <w:rFonts w:ascii="Calibri" w:hAnsi="Calibri"/>
          <w:b/>
          <w:color w:val="B8860B"/>
          <w:sz w:val="36"/>
        </w:rPr>
        <w:t>2. AWA PITCH DAY – CONCOURS DE PROJETS FÉMININS</w:t>
      </w:r>
    </w:p>
    <w:p>
      <w:r>
        <w:rPr>
          <w:rFonts w:ascii="Calibri" w:hAnsi="Calibri"/>
          <w:rFonts w:ascii="Calibri" w:hAnsi="Calibri"/>
          <w:b/>
          <w:color w:val="000000"/>
          <w:sz w:val="28"/>
        </w:rPr>
        <w:t>2.1. Contexte</w:t>
      </w:r>
    </w:p>
    <w:p>
      <w:r>
        <w:rPr>
          <w:rFonts w:ascii="Calibri" w:hAnsi="Calibri"/>
          <w:rFonts w:ascii="Calibri" w:hAnsi="Calibri"/>
          <w:b w:val="0"/>
          <w:i w:val="0"/>
          <w:sz w:val="22"/>
        </w:rPr>
        <w:t>L'AWA Pitch Day est l'un des quatre piliers de SEFA. Il vise à identifier, former et accompagner des jeunes femmes porteuses de projets innovants, en leur offrant visibilité, financement et réseau.</w:t>
      </w:r>
    </w:p>
    <w:p>
      <w:r>
        <w:rPr>
          <w:rFonts w:ascii="Calibri" w:hAnsi="Calibri"/>
          <w:rFonts w:ascii="Calibri" w:hAnsi="Calibri"/>
          <w:b/>
          <w:color w:val="000000"/>
          <w:sz w:val="28"/>
        </w:rPr>
        <w:t>2.2. Préparation</w:t>
      </w:r>
    </w:p>
    <w:p>
      <w:r>
        <w:rPr>
          <w:rFonts w:ascii="Calibri" w:hAnsi="Calibri"/>
          <w:rFonts w:ascii="Calibri" w:hAnsi="Calibri"/>
          <w:b w:val="0"/>
          <w:i w:val="0"/>
          <w:sz w:val="22"/>
        </w:rPr>
        <w:t>L'appel à candidatures a été lancé trois mois avant l'événement. Plus d'une centaine de dossiers ont été reçus. Après une sélection rigoureuse, 16 candidates ont été retenues pour la finale.</w:t>
      </w:r>
    </w:p>
    <w:p>
      <w:r>
        <w:rPr>
          <w:rFonts w:ascii="Calibri" w:hAnsi="Calibri"/>
          <w:rFonts w:ascii="Calibri" w:hAnsi="Calibri"/>
          <w:b w:val="0"/>
          <w:i w:val="0"/>
          <w:sz w:val="22"/>
        </w:rPr>
        <w:t>Ces 16 finalistes ont bénéficié d'un programme de préparation d'un mois :</w:t>
      </w:r>
    </w:p>
    <w:p>
      <w:pPr>
        <w:pStyle w:val="ListBullet"/>
        <w:spacing w:after="60"/>
        <w:ind w:left="360"/>
      </w:pPr>
      <w:r>
        <w:rPr>
          <w:rFonts w:ascii="Calibri" w:hAnsi="Calibri"/>
          <w:rFonts w:ascii="Calibri" w:hAnsi="Calibri"/>
          <w:b w:val="0"/>
          <w:sz w:val="22"/>
        </w:rPr>
        <w:t>Formations en entrepreneuriat et gestion de projet, assurées par l'Université Française</w:t>
      </w:r>
    </w:p>
    <w:p>
      <w:pPr>
        <w:pStyle w:val="ListBullet"/>
        <w:spacing w:after="60"/>
        <w:ind w:left="360"/>
      </w:pPr>
      <w:r>
        <w:rPr>
          <w:rFonts w:ascii="Calibri" w:hAnsi="Calibri"/>
          <w:rFonts w:ascii="Calibri" w:hAnsi="Calibri"/>
          <w:b w:val="0"/>
          <w:sz w:val="22"/>
        </w:rPr>
        <w:t>Sessions de prise de parole en public, avec l'Académie Slam</w:t>
      </w:r>
    </w:p>
    <w:p>
      <w:pPr>
        <w:pStyle w:val="ListBullet"/>
        <w:spacing w:after="60"/>
        <w:ind w:left="360"/>
      </w:pPr>
      <w:r>
        <w:rPr>
          <w:rFonts w:ascii="Calibri" w:hAnsi="Calibri"/>
          <w:rFonts w:ascii="Calibri" w:hAnsi="Calibri"/>
          <w:b w:val="0"/>
          <w:sz w:val="22"/>
        </w:rPr>
        <w:t>Accompagnement technique et certification internationale délivrée par l'Université Française</w:t>
      </w:r>
    </w:p>
    <w:p>
      <w:r>
        <w:rPr>
          <w:rFonts w:ascii="Calibri" w:hAnsi="Calibri"/>
          <w:rFonts w:ascii="Calibri" w:hAnsi="Calibri"/>
          <w:b/>
          <w:color w:val="000000"/>
          <w:sz w:val="28"/>
        </w:rPr>
        <w:t>2.3. Déroulement (27 mars 2026)</w:t>
      </w:r>
    </w:p>
    <w:p>
      <w:r>
        <w:rPr>
          <w:rFonts w:ascii="Calibri" w:hAnsi="Calibri"/>
          <w:rFonts w:ascii="Calibri" w:hAnsi="Calibri"/>
          <w:b w:val="0"/>
          <w:i w:val="0"/>
          <w:sz w:val="22"/>
        </w:rPr>
        <w:t>Le 27 mars, les 16 candidates ont présenté leurs projets devant un jury de professionnels et d'acteurs du développement. Chaque pitch a été suivi d'une session de questions-réponses.</w:t>
      </w:r>
    </w:p>
    <w:p>
      <w:r>
        <w:rPr>
          <w:rFonts w:ascii="Calibri" w:hAnsi="Calibri"/>
          <w:rFonts w:ascii="Calibri" w:hAnsi="Calibri"/>
          <w:b/>
          <w:i w:val="0"/>
          <w:sz w:val="22"/>
        </w:rPr>
        <w:t>Les trois lauréates ont été primées :</w:t>
      </w:r>
    </w:p>
    <w:p>
      <w:pPr>
        <w:pStyle w:val="ListBullet"/>
        <w:spacing w:after="60"/>
        <w:ind w:left="360"/>
      </w:pPr>
      <w:r>
        <w:t>🥇 1ère place : 8 000 000 GNF</w:t>
      </w:r>
    </w:p>
    <w:p>
      <w:pPr>
        <w:pStyle w:val="ListBullet"/>
        <w:spacing w:after="60"/>
        <w:ind w:left="360"/>
      </w:pPr>
      <w:r>
        <w:t>🥈 2ème place : 5 000 000 GNF</w:t>
      </w:r>
    </w:p>
    <w:p>
      <w:pPr>
        <w:pStyle w:val="ListBullet"/>
        <w:spacing w:after="60"/>
        <w:ind w:left="360"/>
      </w:pPr>
      <w:r>
        <w:t>🥉 3ème place : 3 000 000 GNF</w:t>
      </w:r>
    </w:p>
    <w:p>
      <w:r>
        <w:rPr>
          <w:rFonts w:ascii="Calibri" w:hAnsi="Calibri"/>
          <w:rFonts w:ascii="Calibri" w:hAnsi="Calibri"/>
          <w:b w:val="0"/>
          <w:i w:val="0"/>
          <w:sz w:val="22"/>
        </w:rPr>
        <w:t>En plus des récompenses financières, les lauréates ont bénéficié d'un accompagnement technique et d'un suivi exécutif pour assurer la pérennité de leurs projets.</w:t>
      </w:r>
    </w:p>
    <w:p>
      <w:r>
        <w:rPr>
          <w:rFonts w:ascii="Calibri" w:hAnsi="Calibri"/>
          <w:rFonts w:ascii="Calibri" w:hAnsi="Calibri"/>
          <w:b/>
          <w:color w:val="000000"/>
          <w:sz w:val="28"/>
        </w:rPr>
        <w:t>2.4. Bilan</w:t>
      </w:r>
    </w:p>
    <w:p>
      <w:pPr>
        <w:pStyle w:val="ListBullet"/>
        <w:spacing w:after="60"/>
        <w:ind w:left="360"/>
      </w:pPr>
      <w:r>
        <w:t>Plus de 100 candidatures reçues</w:t>
      </w:r>
    </w:p>
    <w:p>
      <w:pPr>
        <w:pStyle w:val="ListBullet"/>
        <w:spacing w:after="60"/>
        <w:ind w:left="360"/>
      </w:pPr>
      <w:r>
        <w:t>16 finalistes formées et accompagnées</w:t>
      </w:r>
    </w:p>
    <w:p>
      <w:pPr>
        <w:pStyle w:val="ListBullet"/>
      </w:pPr>
      <w:r>
        <w:rPr>
          <w:rFonts w:ascii="Calibri" w:hAnsi="Calibri"/>
          <w:rFonts w:ascii="Calibri" w:hAnsi="Calibri"/>
          <w:b w:val="0"/>
          <w:sz w:val="22"/>
        </w:rPr>
        <w:t>Certifications internationales délivrées par l'Université Française à l'issue de la formation</w:t>
      </w:r>
    </w:p>
    <w:p>
      <w:pPr>
        <w:pStyle w:val="ListBullet"/>
        <w:spacing w:after="60"/>
        <w:ind w:left="360"/>
      </w:pPr>
      <w:r>
        <w:t>3 lauréates primées et suivies</w:t>
      </w:r>
    </w:p>
    <w:p>
      <w:pPr>
        <w:pStyle w:val="Heading2"/>
      </w:pPr>
      <w:r>
        <w:rPr>
          <w:rFonts w:ascii="Calibri" w:hAnsi="Calibri"/>
          <w:rFonts w:ascii="Calibri" w:hAnsi="Calibri"/>
          <w:b/>
          <w:color w:val="000000"/>
          <w:sz w:val="28"/>
        </w:rPr>
        <w:t>2.5. Transforme Day (soirée du 27 mars)</w:t>
      </w:r>
    </w:p>
    <w:p>
      <w:r>
        <w:rPr>
          <w:rFonts w:ascii="Calibri" w:hAnsi="Calibri"/>
          <w:rFonts w:ascii="Calibri" w:hAnsi="Calibri"/>
          <w:b w:val="0"/>
          <w:sz w:val="22"/>
        </w:rPr>
        <w:t>Le soir du 27 mars, à la suite de l'AWA Pitch Day, s'est tenu le Transforme Day. Cet événement a été pensé comme un espace de talks d'inspiration, de parcours de femmes leaders et de moments de déclic. Le thème : 'Le jour où une parole peut transformer un destin.'</w:t>
      </w:r>
    </w:p>
    <w:p>
      <w:pPr>
        <w:pStyle w:val="ListBullet"/>
      </w:pPr>
      <w:r>
        <w:rPr>
          <w:rFonts w:ascii="Calibri" w:hAnsi="Calibri"/>
          <w:rFonts w:ascii="Calibri" w:hAnsi="Calibri"/>
          <w:b w:val="0"/>
          <w:sz w:val="22"/>
        </w:rPr>
        <w:t>Sister LB – Artiste chanteuse rappeuse, CEO de Light of Brain Entertainment (Sénégal). Elle a partagé son parcours dans l'art et l'entrepreneuriat culturel, montrant comment la créativité peut être un levier de transformation sociale.</w:t>
      </w:r>
    </w:p>
    <w:p>
      <w:pPr>
        <w:pStyle w:val="ListBullet"/>
      </w:pPr>
      <w:r>
        <w:rPr>
          <w:rFonts w:ascii="Calibri" w:hAnsi="Calibri"/>
          <w:rFonts w:ascii="Calibri" w:hAnsi="Calibri"/>
          <w:b w:val="0"/>
          <w:sz w:val="22"/>
        </w:rPr>
        <w:t>M'mah Soumah – Surintendant RH à Elite Mining Guinea. Elle est intervenue sur son expérience dans le secteur minier, un domaine dominé par les hommes, et sur l'importance de la résilience pour ouvrir des portes.</w:t>
      </w:r>
    </w:p>
    <w:p>
      <w:pPr>
        <w:pStyle w:val="ListBullet"/>
      </w:pPr>
      <w:r>
        <w:rPr>
          <w:rFonts w:ascii="Calibri" w:hAnsi="Calibri"/>
          <w:rFonts w:ascii="Calibri" w:hAnsi="Calibri"/>
          <w:b w:val="0"/>
          <w:sz w:val="22"/>
        </w:rPr>
        <w:t>Green Fellow – Fondatrice du projet 'Tanora Hiranga' (Madagascar). Elle a présenté son initiative environnementale et sociale, démontrant que l'entrepreneuriat peut allier impact écologique et développement communautaire.</w:t>
      </w:r>
    </w:p>
    <w:p>
      <w:pPr>
        <w:pStyle w:val="ListBullet"/>
      </w:pPr>
      <w:r>
        <w:rPr>
          <w:rFonts w:ascii="Calibri" w:hAnsi="Calibri"/>
          <w:rFonts w:ascii="Calibri" w:hAnsi="Calibri"/>
          <w:b w:val="0"/>
          <w:sz w:val="22"/>
        </w:rPr>
        <w:t>Kadiatou Kaba – Journaliste, Écrivaine et Entrepreneure. Elle a témoigné de son parcours dans les médias, la littérature et l'entreprise, insistant sur le pouvoir des mots et de la narration pour changer des vies.</w:t>
      </w:r>
    </w:p>
    <w:p>
      <w:pPr>
        <w:pStyle w:val="ListBullet"/>
      </w:pPr>
      <w:r>
        <w:rPr>
          <w:rFonts w:ascii="Calibri" w:hAnsi="Calibri"/>
          <w:rFonts w:ascii="Calibri" w:hAnsi="Calibri"/>
          <w:b w:val="0"/>
          <w:sz w:val="22"/>
        </w:rPr>
        <w:t>Aissata Kaporo Soumah – Fondatrice de Kap's Group. Elle a partagé son expérience dans la création et la gestion d'entreprise, avec un message fort sur l'audace et la détermination des femmes entrepreneures africaines.</w:t>
      </w:r>
    </w:p>
    <w:p>
      <w:pPr>
        <w:pStyle w:val="ListBullet"/>
      </w:pPr>
      <w:r>
        <w:rPr>
          <w:rFonts w:ascii="Calibri" w:hAnsi="Calibri"/>
          <w:rFonts w:ascii="Calibri" w:hAnsi="Calibri"/>
          <w:b w:val="0"/>
          <w:sz w:val="22"/>
        </w:rPr>
        <w:t>Kadiatou Konaté – Fondatrice de Malaff. Elle a présenté son projet et son engagement pour l'innovation et le développement, inspirant les participantes à croire en leurs idées et à passer à l'action.</w:t>
      </w:r>
    </w:p>
    <w:p>
      <w:r>
        <w:rPr>
          <w:rFonts w:ascii="Calibri" w:hAnsi="Calibri"/>
          <w:rFonts w:ascii="Calibri" w:hAnsi="Calibri"/>
          <w:b w:val="0"/>
          <w:sz w:val="22"/>
        </w:rPr>
        <w:t>Bilan : 6 femmes leaders de 4 pays différents (Guinée, Sénégal, Madagascar) ont partagé leurs parcours. Le Transforme Day a créé des moments de déclic et d'inspiration, renforçant l'impact de la journée du 27 mars.</w:t>
      </w:r>
    </w:p>
    <w:p>
      <w:pPr>
        <w:pStyle w:val="ListBullet"/>
        <w:spacing w:after="60"/>
        <w:ind w:left="360"/>
      </w:pPr>
      <w:r>
        <w:t>Un cadre d'échange créé entre participantes, formateurs et professionnels</w:t>
      </w:r>
    </w:p>
    <w:p>
      <w:r>
        <w:rPr>
          <w:rFonts w:ascii="Calibri" w:hAnsi="Calibri"/>
          <w:rFonts w:ascii="Calibri" w:hAnsi="Calibri"/>
          <w:b/>
          <w:color w:val="B8860B"/>
          <w:sz w:val="36"/>
        </w:rPr>
        <w:t>3. GRAND SOMMET DU 28 MARS</w:t>
      </w:r>
    </w:p>
    <w:p>
      <w:r>
        <w:rPr>
          <w:rFonts w:ascii="Calibri" w:hAnsi="Calibri"/>
          <w:rFonts w:ascii="Calibri" w:hAnsi="Calibri"/>
          <w:b/>
          <w:color w:val="000000"/>
          <w:sz w:val="28"/>
        </w:rPr>
        <w:t>3.1. Contexte</w:t>
      </w:r>
    </w:p>
    <w:p>
      <w:r>
        <w:rPr>
          <w:rFonts w:ascii="Calibri" w:hAnsi="Calibri"/>
          <w:rFonts w:ascii="Calibri" w:hAnsi="Calibri"/>
          <w:b w:val="0"/>
          <w:i w:val="0"/>
          <w:sz w:val="22"/>
        </w:rPr>
        <w:t>Le Grand Sommet du 28 mars a été conçu comme une journée en deux temps, alliant dialogue intergénérationnel le matin et panel de haut niveau le soir. L'ambition était de créer un espace où les voix des jeunes et celles des femmes leaders se répondent, où l'inspiration voyage dans les deux sens.</w:t>
      </w:r>
    </w:p>
    <w:p>
      <w:r>
        <w:rPr>
          <w:rFonts w:ascii="Calibri" w:hAnsi="Calibri"/>
          <w:rFonts w:ascii="Calibri" w:hAnsi="Calibri"/>
          <w:b/>
          <w:color w:val="000000"/>
          <w:sz w:val="28"/>
        </w:rPr>
        <w:t>3.2. Première partie : Sommet Générationnel (matinée)</w:t>
      </w:r>
    </w:p>
    <w:p>
      <w:r>
        <w:rPr>
          <w:rFonts w:ascii="Calibri" w:hAnsi="Calibri"/>
          <w:rFonts w:ascii="Calibri" w:hAnsi="Calibri"/>
          <w:b w:val="0"/>
          <w:i w:val="0"/>
          <w:sz w:val="22"/>
        </w:rPr>
        <w:t>De 9h00 à 13h00, à l'Hôtel Kaloum, près de 300 enfants, élèves et lycéens âgés de 8 à 16 ans ont pris part au Sommet Générationnel. Cette initiative a été pensée pour ne pas limiter les échanges aux adultes, mais pour intégrer les jeunes comme véritables acteurs de réflexion.</w:t>
      </w:r>
    </w:p>
    <w:p>
      <w:r>
        <w:rPr>
          <w:rFonts w:ascii="Calibri" w:hAnsi="Calibri"/>
          <w:rFonts w:ascii="Calibri" w:hAnsi="Calibri"/>
          <w:b/>
          <w:i w:val="0"/>
          <w:sz w:val="22"/>
        </w:rPr>
        <w:t>Déroulement :</w:t>
      </w:r>
    </w:p>
    <w:p>
      <w:pPr>
        <w:pStyle w:val="ListBullet"/>
        <w:spacing w:after="60"/>
        <w:ind w:left="360"/>
      </w:pPr>
      <w:r>
        <w:t>Accueil et installation des participants dans une ambiance dynamique et studieuse</w:t>
      </w:r>
    </w:p>
    <w:p>
      <w:pPr>
        <w:pStyle w:val="ListBullet"/>
        <w:spacing w:after="60"/>
        <w:ind w:left="360"/>
      </w:pPr>
      <w:r>
        <w:t>Panels organisés en petits groupes pour favoriser la prise de parole libre</w:t>
      </w:r>
    </w:p>
    <w:p>
      <w:pPr>
        <w:pStyle w:val="ListBullet"/>
        <w:spacing w:after="60"/>
        <w:ind w:left="360"/>
      </w:pPr>
      <w:r>
        <w:t>Expression des jeunes sur leurs aspirations, leurs rêves et leur vision de l'avenir</w:t>
      </w:r>
    </w:p>
    <w:p>
      <w:pPr>
        <w:pStyle w:val="ListBullet"/>
        <w:spacing w:after="60"/>
        <w:ind w:left="360"/>
      </w:pPr>
      <w:r>
        <w:t>Discussion sur la place des femmes dans la société et le leadership féminin</w:t>
      </w:r>
    </w:p>
    <w:p>
      <w:pPr>
        <w:pStyle w:val="ListBullet"/>
        <w:spacing w:after="60"/>
        <w:ind w:left="360"/>
      </w:pPr>
      <w:r>
        <w:t>Pitchs réalisés par les lycéens autour du thème du mois de la femme</w:t>
      </w:r>
    </w:p>
    <w:p>
      <w:pPr>
        <w:pStyle w:val="ListBullet"/>
        <w:spacing w:after="60"/>
        <w:ind w:left="360"/>
      </w:pPr>
      <w:r>
        <w:t>Prestations de slam apportant une dimension artistique et émotionnelle forte</w:t>
      </w:r>
    </w:p>
    <w:p>
      <w:r>
        <w:rPr>
          <w:rFonts w:ascii="Calibri" w:hAnsi="Calibri"/>
          <w:rFonts w:ascii="Calibri" w:hAnsi="Calibri"/>
          <w:b w:val="0"/>
          <w:i w:val="0"/>
          <w:sz w:val="22"/>
        </w:rPr>
        <w:t>Les messages véhiculés par les jeunes ont suscité une vive émotion et renforcé l'impact global de la rencontre. Cette matinée a mis en évidence une réalité essentielle : les enfants et les jeunes, lorsqu'ils sont écoutés et accompagnés, sont capables de réflexion, d'engagement et de projection.</w:t>
      </w:r>
    </w:p>
    <w:p>
      <w:r>
        <w:rPr>
          <w:rFonts w:ascii="Calibri" w:hAnsi="Calibri"/>
          <w:rFonts w:ascii="Calibri" w:hAnsi="Calibri"/>
          <w:b/>
          <w:color w:val="000000"/>
          <w:sz w:val="28"/>
        </w:rPr>
        <w:t>3.3. Deuxième partie : Grand Panel AWA (soirée)</w:t>
      </w:r>
    </w:p>
    <w:p>
      <w:r>
        <w:rPr>
          <w:rFonts w:ascii="Calibri" w:hAnsi="Calibri"/>
          <w:rFonts w:ascii="Calibri" w:hAnsi="Calibri"/>
          <w:b w:val="0"/>
          <w:i w:val="0"/>
          <w:sz w:val="22"/>
        </w:rPr>
        <w:t>Le soir du 28 mars, le Sommet a basculé vers un format plus institutionnel avec le Grand Panel AWA. Cette session a réuni quatre femmes leaders de domaines stratégiques différents, offrant aux participants un panorama complet des forces qui façonnent l'Afrique d'aujourd'hui et de demain.</w:t>
      </w:r>
    </w:p>
    <w:p>
      <w:r>
        <w:rPr>
          <w:rFonts w:ascii="Calibri" w:hAnsi="Calibri"/>
          <w:rFonts w:ascii="Calibri" w:hAnsi="Calibri"/>
          <w:b/>
          <w:sz w:val="22"/>
        </w:rPr>
        <w:t>Les trois panélistes :</w:t>
      </w:r>
    </w:p>
    <w:p>
      <w:pPr>
        <w:pStyle w:val="ListBullet"/>
        <w:spacing w:after="60"/>
        <w:ind w:left="360"/>
      </w:pPr>
      <w:r>
        <w:rPr>
          <w:rFonts w:ascii="Calibri" w:hAnsi="Calibri"/>
          <w:rFonts w:ascii="Calibri" w:hAnsi="Calibri"/>
          <w:b w:val="0"/>
          <w:sz w:val="22"/>
        </w:rPr>
        <w:t>Makale Ongoiba Diallo – Spécialiste en business improvement, évoluant dans le secteur minier. Elle a partagé son expérience dans un domaine traditionnellement masculin, les défis techniques et humains, et l'importance de la présence féminine dans les secteurs stratégiques du développement africain.</w:t>
      </w:r>
    </w:p>
    <w:p>
      <w:pPr>
        <w:pStyle w:val="ListBullet"/>
      </w:pPr>
      <w:r>
        <w:rPr>
          <w:rFonts w:ascii="Calibri" w:hAnsi="Calibri"/>
          <w:rFonts w:ascii="Calibri" w:hAnsi="Calibri"/>
          <w:b w:val="0"/>
          <w:sz w:val="22"/>
        </w:rPr>
        <w:t>Mme Anne Djènèba – Présidente de la Fondation Jamila, actrice engagée dans l'action humanitaire, la santé communautaire et la protection des droits des plus vulnérables. Son témoignage a rappelé que le développement ne se mesure pas seulement en chiffres, mais aussi en vies transformées et en dignité restaurée.</w:t>
      </w:r>
    </w:p>
    <w:p>
      <w:pPr>
        <w:pStyle w:val="ListBullet"/>
      </w:pPr>
      <w:r>
        <w:rPr>
          <w:rFonts w:ascii="Calibri" w:hAnsi="Calibri"/>
          <w:rFonts w:ascii="Calibri" w:hAnsi="Calibri"/>
          <w:b w:val="0"/>
          <w:sz w:val="22"/>
        </w:rPr>
        <w:t>Mme Haba Elise Koivogui – Directrice Générale Adjointe de la Poste Guinéenne, haute fonctionnaire qui a œuvré pour des politiques d'inclusion, de gouvernance et de service public. Son intervention a mis en lumière le rôle des femmes dans la construction des institutions et la nécessité d'une représentation équilibrée dans les décisions publiques.</w:t>
      </w:r>
    </w:p>
    <w:p>
      <w:pPr>
        <w:pStyle w:val="ListBullet"/>
        <w:spacing w:after="60"/>
        <w:ind w:left="360"/>
      </w:pPr>
    </w:p>
    <w:p>
      <w:pPr>
        <w:pStyle w:val="ListBullet"/>
        <w:spacing w:after="60"/>
        <w:ind w:left="360"/>
      </w:pPr>
    </w:p>
    <w:p>
      <w:pPr>
        <w:pStyle w:val="ListBullet"/>
        <w:spacing w:after="60"/>
        <w:ind w:left="360"/>
      </w:pPr>
    </w:p>
    <w:p>
      <w:r>
        <w:rPr>
          <w:rFonts w:ascii="Calibri" w:hAnsi="Calibri"/>
          <w:rFonts w:ascii="Calibri" w:hAnsi="Calibri"/>
          <w:b w:val="0"/>
          <w:i w:val="0"/>
          <w:sz w:val="22"/>
        </w:rPr>
        <w:t>Le panel a été modéré avec une grande fluidité, permettant des échanges directs entre les panélistes et le public. Les questions du public ont porté sur des thématiques concrètes : comment financer son projet, comment résister aux préjugés dans les métiers non traditionnels, comment concilier engagement public et vie privée, comment mesurer l'impact de l'action humanitaire.</w:t>
      </w:r>
    </w:p>
    <w:p>
      <w:r>
        <w:rPr>
          <w:rFonts w:ascii="Calibri" w:hAnsi="Calibri"/>
          <w:rFonts w:ascii="Calibri" w:hAnsi="Calibri"/>
          <w:b w:val="0"/>
          <w:i w:val="0"/>
          <w:sz w:val="22"/>
        </w:rPr>
        <w:t>Cette soirée a été un moment fort de la semaine. Elle a montré que l'excellence féminine africaine n'est pas monolithique : elle s'exprime dans l'entreprise, dans la mine, dans l'administration, dans le terrain. Et que chaque domaine, aussi stratégique soit-il, a besoin de la voix des femmes.</w:t>
      </w:r>
    </w:p>
    <w:p>
      <w:r>
        <w:rPr>
          <w:rFonts w:ascii="Calibri" w:hAnsi="Calibri"/>
          <w:rFonts w:ascii="Calibri" w:hAnsi="Calibri"/>
          <w:b/>
          <w:color w:val="000000"/>
          <w:sz w:val="28"/>
        </w:rPr>
        <w:t>3.4. Bilan du Grand Sommet</w:t>
      </w:r>
    </w:p>
    <w:p>
      <w:pPr>
        <w:pStyle w:val="ListBullet"/>
        <w:spacing w:after="60"/>
        <w:ind w:left="360"/>
      </w:pPr>
      <w:r>
        <w:t>300 jeunes participants mobilisés le matin (Sommet Générationnel)</w:t>
      </w:r>
    </w:p>
    <w:p>
      <w:pPr>
        <w:pStyle w:val="ListBullet"/>
        <w:spacing w:after="60"/>
        <w:ind w:left="360"/>
      </w:pPr>
      <w:r>
        <w:rPr>
          <w:rFonts w:ascii="Calibri" w:hAnsi="Calibri"/>
          <w:rFonts w:ascii="Calibri" w:hAnsi="Calibri"/>
          <w:b w:val="0"/>
          <w:sz w:val="22"/>
        </w:rPr>
        <w:t>3 femmes leaders de domaines stratégiques réunies le soir (Grand Panel AWA)</w:t>
      </w:r>
    </w:p>
    <w:p>
      <w:pPr>
        <w:pStyle w:val="ListBullet"/>
        <w:spacing w:after="60"/>
        <w:ind w:left="360"/>
      </w:pPr>
      <w:r>
        <w:t>2 formats complémentaires : dialogue intergénérationnel et panel institutionnel</w:t>
      </w:r>
    </w:p>
    <w:p>
      <w:pPr>
        <w:pStyle w:val="ListBullet"/>
        <w:spacing w:after="60"/>
        <w:ind w:left="360"/>
      </w:pPr>
      <w:r>
        <w:t>Espace de parole libre créé pour les enfants et adolescents</w:t>
      </w:r>
    </w:p>
    <w:p>
      <w:pPr>
        <w:pStyle w:val="ListBullet"/>
        <w:spacing w:after="60"/>
        <w:ind w:left="360"/>
      </w:pPr>
      <w:r>
        <w:t>Transmission de valeurs et d'expériences entre générations</w:t>
      </w:r>
    </w:p>
    <w:p>
      <w:pPr>
        <w:pStyle w:val="ListBullet"/>
        <w:spacing w:after="60"/>
        <w:ind w:left="360"/>
      </w:pPr>
      <w:r>
        <w:t>Dimension artistique et émotionnelle forte (slam, pitchs, témoignages)</w:t>
      </w:r>
    </w:p>
    <w:p>
      <w:pPr>
        <w:pStyle w:val="ListBullet"/>
        <w:spacing w:after="60"/>
        <w:ind w:left="360"/>
      </w:pPr>
      <w:r>
        <w:t>Positionnement de la Guinée comme espace de dialogue panafricain de haut niveau</w:t>
      </w:r>
    </w:p>
    <w:p>
      <w:r>
        <w:rPr>
          <w:rFonts w:ascii="Calibri" w:hAnsi="Calibri"/>
          <w:rFonts w:ascii="Calibri" w:hAnsi="Calibri"/>
          <w:b/>
          <w:color w:val="B8860B"/>
          <w:sz w:val="36"/>
        </w:rPr>
        <w:t>4. CÉRÉMONIE DE REMISE DES DISTINCTIONS</w:t>
      </w:r>
    </w:p>
    <w:p>
      <w:r>
        <w:rPr>
          <w:rFonts w:ascii="Calibri" w:hAnsi="Calibri"/>
          <w:rFonts w:ascii="Calibri" w:hAnsi="Calibri"/>
          <w:b/>
          <w:color w:val="000000"/>
          <w:sz w:val="28"/>
        </w:rPr>
        <w:t>4.1. Contexte</w:t>
      </w:r>
    </w:p>
    <w:p>
      <w:r>
        <w:rPr>
          <w:rFonts w:ascii="Calibri" w:hAnsi="Calibri"/>
          <w:rFonts w:ascii="Calibri" w:hAnsi="Calibri"/>
          <w:b w:val="0"/>
          <w:i w:val="0"/>
          <w:sz w:val="22"/>
        </w:rPr>
        <w:t>La cérémonie de remise des African Women's Awards, point culminant de SEFA 2026, s'est tenue le 29 mars 2026 à 15h00 à l'Hôtel Kaloum. Elle a réuni des femmes venues de plus de 15 pays d'Afrique, des personnalités institutionnelles, des partenaires et des médias.</w:t>
      </w:r>
    </w:p>
    <w:p>
      <w:r>
        <w:rPr>
          <w:rFonts w:ascii="Calibri" w:hAnsi="Calibri"/>
          <w:rFonts w:ascii="Calibri" w:hAnsi="Calibri"/>
          <w:b/>
          <w:color w:val="000000"/>
          <w:sz w:val="28"/>
        </w:rPr>
        <w:t>4.2. Déroulement</w:t>
      </w:r>
    </w:p>
    <w:p>
      <w:r>
        <w:rPr>
          <w:rFonts w:ascii="Calibri" w:hAnsi="Calibri"/>
          <w:rFonts w:ascii="Calibri" w:hAnsi="Calibri"/>
          <w:b w:val="0"/>
          <w:i w:val="0"/>
          <w:sz w:val="22"/>
        </w:rPr>
        <w:t>La cérémonie s'est déroulée dans une ambiance à la fois solennelle et conviviale.</w:t>
      </w:r>
    </w:p>
    <w:p>
      <w:r>
        <w:rPr>
          <w:rFonts w:ascii="Calibri" w:hAnsi="Calibri"/>
          <w:rFonts w:ascii="Calibri" w:hAnsi="Calibri"/>
          <w:b w:val="0"/>
          <w:i w:val="0"/>
          <w:sz w:val="22"/>
        </w:rPr>
        <w:t>Accueil des invités :</w:t>
      </w:r>
    </w:p>
    <w:p>
      <w:pPr>
        <w:pStyle w:val="ListBullet"/>
        <w:spacing w:after="60"/>
        <w:ind w:left="360"/>
      </w:pPr>
      <w:r>
        <w:t>Les invités et les nominées ont été chaleureusement accueillis dans la salle</w:t>
      </w:r>
    </w:p>
    <w:p>
      <w:pPr>
        <w:pStyle w:val="ListBullet"/>
        <w:spacing w:after="60"/>
        <w:ind w:left="360"/>
      </w:pPr>
      <w:r>
        <w:t>Installation dans une ambiance festive et élégante</w:t>
      </w:r>
    </w:p>
    <w:p>
      <w:r>
        <w:rPr>
          <w:rFonts w:ascii="Calibri" w:hAnsi="Calibri"/>
          <w:rFonts w:ascii="Calibri" w:hAnsi="Calibri"/>
          <w:b w:val="0"/>
          <w:i w:val="0"/>
          <w:sz w:val="22"/>
        </w:rPr>
        <w:t>Discours d'ouverture :</w:t>
      </w:r>
    </w:p>
    <w:p>
      <w:pPr>
        <w:pStyle w:val="ListBullet"/>
        <w:spacing w:after="60"/>
        <w:ind w:left="360"/>
      </w:pPr>
      <w:r>
        <w:t>La commissaire générale a mis en avant l'importance de reconnaître et valoriser la contribution des femmes dans le développement de l'Afrique</w:t>
      </w:r>
    </w:p>
    <w:p>
      <w:pPr>
        <w:pStyle w:val="ListBullet"/>
        <w:spacing w:after="60"/>
        <w:ind w:left="360"/>
      </w:pPr>
      <w:r>
        <w:t>Remerciements au comité d'organisation, aux ambassadeurs et ambassadrices pour leur engagement</w:t>
      </w:r>
    </w:p>
    <w:p>
      <w:r>
        <w:rPr>
          <w:rFonts w:ascii="Calibri" w:hAnsi="Calibri"/>
          <w:rFonts w:ascii="Calibri" w:hAnsi="Calibri"/>
          <w:b w:val="0"/>
          <w:i w:val="0"/>
          <w:sz w:val="22"/>
        </w:rPr>
        <w:t>Interventions et témoignages :</w:t>
      </w:r>
    </w:p>
    <w:p>
      <w:pPr>
        <w:pStyle w:val="ListBullet"/>
        <w:spacing w:after="60"/>
        <w:ind w:left="360"/>
      </w:pPr>
      <w:r>
        <w:t>Des personnalités inspirantes ont partagé leurs expériences, leurs défis et leurs réussites</w:t>
      </w:r>
    </w:p>
    <w:p>
      <w:pPr>
        <w:pStyle w:val="ListBullet"/>
        <w:spacing w:after="60"/>
        <w:ind w:left="360"/>
      </w:pPr>
      <w:r>
        <w:t>Messages forts et motivants pour la nouvelle génération</w:t>
      </w:r>
    </w:p>
    <w:p>
      <w:r>
        <w:rPr>
          <w:rFonts w:ascii="Calibri" w:hAnsi="Calibri"/>
          <w:rFonts w:ascii="Calibri" w:hAnsi="Calibri"/>
          <w:b w:val="0"/>
          <w:i w:val="0"/>
          <w:sz w:val="22"/>
        </w:rPr>
        <w:t>Remise des distinctions :</w:t>
      </w:r>
    </w:p>
    <w:p>
      <w:pPr>
        <w:pStyle w:val="ListBullet"/>
        <w:spacing w:after="60"/>
        <w:ind w:left="360"/>
      </w:pPr>
      <w:r>
        <w:t>Moment central de la cérémonie</w:t>
      </w:r>
    </w:p>
    <w:p>
      <w:pPr>
        <w:pStyle w:val="ListBullet"/>
        <w:spacing w:after="60"/>
        <w:ind w:left="360"/>
      </w:pPr>
      <w:r>
        <w:t>Les lauréates ont été honorées dans différentes catégories : leadership féminin, entrepreneuriat, engagement communautaire</w:t>
      </w:r>
    </w:p>
    <w:p>
      <w:pPr>
        <w:pStyle w:val="ListBullet"/>
        <w:spacing w:after="60"/>
        <w:ind w:left="360"/>
      </w:pPr>
      <w:r>
        <w:t>Chaque distinction accompagnée d'une présentation valorisant le parcours et l'impact de la lauréate</w:t>
      </w:r>
    </w:p>
    <w:p>
      <w:r>
        <w:rPr>
          <w:rFonts w:ascii="Calibri" w:hAnsi="Calibri"/>
          <w:rFonts w:ascii="Calibri" w:hAnsi="Calibri"/>
          <w:b/>
          <w:color w:val="000000"/>
          <w:sz w:val="28"/>
        </w:rPr>
        <w:t>4.3. Bilan</w:t>
      </w:r>
    </w:p>
    <w:p>
      <w:pPr>
        <w:pStyle w:val="ListBullet"/>
        <w:spacing w:after="60"/>
        <w:ind w:left="360"/>
      </w:pPr>
      <w:r>
        <w:t>Plus de 15 pays africains représentés</w:t>
      </w:r>
    </w:p>
    <w:p>
      <w:pPr>
        <w:pStyle w:val="ListBullet"/>
        <w:spacing w:after="60"/>
        <w:ind w:left="360"/>
      </w:pPr>
      <w:r>
        <w:t>Femmes modèles et inspirantes mises en lumière</w:t>
      </w:r>
    </w:p>
    <w:p>
      <w:pPr>
        <w:pStyle w:val="ListBullet"/>
        <w:spacing w:after="60"/>
        <w:ind w:left="360"/>
      </w:pPr>
      <w:r>
        <w:t>Visibilité renforcée des initiatives féminines africaines</w:t>
      </w:r>
    </w:p>
    <w:p>
      <w:pPr>
        <w:pStyle w:val="ListBullet"/>
        <w:spacing w:after="60"/>
        <w:ind w:left="360"/>
      </w:pPr>
      <w:r>
        <w:t>Encouragement de l'engagement des jeunes femmes</w:t>
      </w:r>
    </w:p>
    <w:p>
      <w:pPr>
        <w:pStyle w:val="ListBullet"/>
        <w:spacing w:after="60"/>
        <w:ind w:left="360"/>
      </w:pPr>
      <w:r>
        <w:t>Valorisation du rôle essentiel des femmes dans le développement</w:t>
      </w:r>
    </w:p>
    <w:p>
      <w:r>
        <w:rPr>
          <w:rFonts w:ascii="Calibri" w:hAnsi="Calibri"/>
          <w:rFonts w:ascii="Calibri" w:hAnsi="Calibri"/>
          <w:b/>
          <w:color w:val="B8860B"/>
          <w:sz w:val="36"/>
        </w:rPr>
        <w:t>5. BILAN ET RÉSULTATS</w:t>
      </w:r>
    </w:p>
    <w:p>
      <w:r>
        <w:rPr>
          <w:rFonts w:ascii="Calibri" w:hAnsi="Calibri"/>
          <w:rFonts w:ascii="Calibri" w:hAnsi="Calibri"/>
          <w:b/>
          <w:color w:val="000000"/>
          <w:sz w:val="28"/>
        </w:rPr>
        <w:t>5.1. Chiffres clés</w:t>
      </w:r>
    </w:p>
    <w:tbl>
      <w:tblPr>
        <w:tblStyle w:val="TableGrid"/>
        <w:tblW w:type="auto" w:w="0"/>
        <w:tblLook w:firstColumn="1" w:firstRow="1" w:lastColumn="0" w:lastRow="0" w:noHBand="0" w:noVBand="1" w:val="04A0"/>
      </w:tblPr>
      <w:tblGrid>
        <w:gridCol w:w="4320"/>
        <w:gridCol w:w="4320"/>
      </w:tblGrid>
      <w:tr>
        <w:tc>
          <w:tcPr>
            <w:tcW w:type="dxa" w:w="4320"/>
            <w:shd w:fill="1a1a1a"/>
          </w:tcPr>
          <w:p>
            <w:pPr>
              <w:jc w:val="center"/>
            </w:pPr>
            <w:r>
              <w:rPr>
                <w:rFonts w:ascii="Calibri" w:hAnsi="Calibri"/>
                <w:rFonts w:ascii="Calibri" w:hAnsi="Calibri"/>
                <w:b/>
                <w:color w:val="FFFFFF"/>
                <w:sz w:val="22"/>
              </w:rPr>
              <w:t>Indicateur</w:t>
            </w:r>
          </w:p>
        </w:tc>
        <w:tc>
          <w:tcPr>
            <w:tcW w:type="dxa" w:w="4320"/>
            <w:shd w:fill="1a1a1a"/>
          </w:tcPr>
          <w:p>
            <w:pPr>
              <w:jc w:val="center"/>
            </w:pPr>
            <w:r>
              <w:rPr>
                <w:rFonts w:ascii="Calibri" w:hAnsi="Calibri"/>
                <w:rFonts w:ascii="Calibri" w:hAnsi="Calibri"/>
                <w:b/>
                <w:color w:val="FFFFFF"/>
                <w:sz w:val="22"/>
              </w:rPr>
              <w:t>Résultat</w:t>
            </w:r>
          </w:p>
        </w:tc>
      </w:tr>
      <w:tr>
        <w:tc>
          <w:tcPr>
            <w:tcW w:type="dxa" w:w="4320"/>
          </w:tcPr>
          <w:p>
            <w:r>
              <w:rPr>
                <w:rFonts w:ascii="Calibri" w:hAnsi="Calibri"/>
                <w:rFonts w:ascii="Calibri" w:hAnsi="Calibri"/>
                <w:b w:val="0"/>
                <w:sz w:val="20"/>
              </w:rPr>
              <w:t>Durée de la semaine</w:t>
            </w:r>
          </w:p>
        </w:tc>
        <w:tc>
          <w:tcPr>
            <w:tcW w:type="dxa" w:w="4320"/>
          </w:tcPr>
          <w:p>
            <w:r>
              <w:rPr>
                <w:rFonts w:ascii="Calibri" w:hAnsi="Calibri"/>
                <w:rFonts w:ascii="Calibri" w:hAnsi="Calibri"/>
                <w:b w:val="0"/>
                <w:sz w:val="20"/>
              </w:rPr>
              <w:t>7 jours (24-30 mars 2026)</w:t>
            </w:r>
          </w:p>
        </w:tc>
      </w:tr>
      <w:tr>
        <w:tc>
          <w:tcPr>
            <w:tcW w:type="dxa" w:w="4320"/>
          </w:tcPr>
          <w:p>
            <w:r>
              <w:rPr>
                <w:rFonts w:ascii="Calibri" w:hAnsi="Calibri"/>
                <w:rFonts w:ascii="Calibri" w:hAnsi="Calibri"/>
                <w:b w:val="0"/>
                <w:sz w:val="20"/>
              </w:rPr>
              <w:t>Pays représentés</w:t>
            </w:r>
          </w:p>
        </w:tc>
        <w:tc>
          <w:tcPr>
            <w:tcW w:type="dxa" w:w="4320"/>
          </w:tcPr>
          <w:p>
            <w:r>
              <w:rPr>
                <w:rFonts w:ascii="Calibri" w:hAnsi="Calibri"/>
                <w:rFonts w:ascii="Calibri" w:hAnsi="Calibri"/>
                <w:b w:val="0"/>
                <w:sz w:val="20"/>
              </w:rPr>
              <w:t>15+ pays africains</w:t>
            </w:r>
          </w:p>
        </w:tc>
      </w:tr>
      <w:tr>
        <w:tc>
          <w:tcPr>
            <w:tcW w:type="dxa" w:w="4320"/>
          </w:tcPr>
          <w:p>
            <w:r>
              <w:rPr>
                <w:rFonts w:ascii="Calibri" w:hAnsi="Calibri"/>
                <w:rFonts w:ascii="Calibri" w:hAnsi="Calibri"/>
                <w:b w:val="0"/>
                <w:sz w:val="20"/>
              </w:rPr>
              <w:t>Participants au Grand Sommet (matin)</w:t>
            </w:r>
          </w:p>
        </w:tc>
        <w:tc>
          <w:tcPr>
            <w:tcW w:type="dxa" w:w="4320"/>
          </w:tcPr>
          <w:p>
            <w:r>
              <w:rPr>
                <w:rFonts w:ascii="Calibri" w:hAnsi="Calibri"/>
                <w:rFonts w:ascii="Calibri" w:hAnsi="Calibri"/>
                <w:b w:val="0"/>
                <w:sz w:val="20"/>
              </w:rPr>
              <w:t>300 jeunes (8-16 ans)</w:t>
            </w:r>
          </w:p>
        </w:tc>
      </w:tr>
      <w:tr>
        <w:tc>
          <w:tcPr>
            <w:tcW w:type="dxa" w:w="4320"/>
          </w:tcPr>
          <w:p>
            <w:r>
              <w:rPr>
                <w:rFonts w:ascii="Calibri" w:hAnsi="Calibri"/>
                <w:rFonts w:ascii="Calibri" w:hAnsi="Calibri"/>
                <w:b w:val="0"/>
                <w:sz w:val="20"/>
              </w:rPr>
              <w:t>Panélistes du Grand Panel AWA (soir)</w:t>
            </w:r>
          </w:p>
        </w:tc>
        <w:tc>
          <w:tcPr>
            <w:tcW w:type="dxa" w:w="4320"/>
          </w:tcPr>
          <w:p>
            <w:r>
              <w:rPr>
                <w:rFonts w:ascii="Calibri" w:hAnsi="Calibri"/>
                <w:rFonts w:ascii="Calibri" w:hAnsi="Calibri"/>
                <w:b w:val="0"/>
                <w:sz w:val="20"/>
              </w:rPr>
              <w:t>4 femmes leaders (domaines stratégiques)</w:t>
            </w:r>
          </w:p>
        </w:tc>
      </w:tr>
      <w:tr>
        <w:tc>
          <w:tcPr>
            <w:tcW w:type="dxa" w:w="4320"/>
          </w:tcPr>
          <w:p>
            <w:r>
              <w:rPr>
                <w:rFonts w:ascii="Calibri" w:hAnsi="Calibri"/>
                <w:rFonts w:ascii="Calibri" w:hAnsi="Calibri"/>
                <w:b w:val="0"/>
                <w:sz w:val="20"/>
              </w:rPr>
              <w:t>Candidatures AWA Pitch Day</w:t>
            </w:r>
          </w:p>
        </w:tc>
        <w:tc>
          <w:tcPr>
            <w:tcW w:type="dxa" w:w="4320"/>
          </w:tcPr>
          <w:p>
            <w:r>
              <w:rPr>
                <w:rFonts w:ascii="Calibri" w:hAnsi="Calibri"/>
                <w:rFonts w:ascii="Calibri" w:hAnsi="Calibri"/>
                <w:b w:val="0"/>
                <w:sz w:val="20"/>
              </w:rPr>
              <w:t>100+ dossiers</w:t>
            </w:r>
          </w:p>
        </w:tc>
      </w:tr>
      <w:tr>
        <w:tc>
          <w:tcPr>
            <w:tcW w:type="dxa" w:w="4320"/>
          </w:tcPr>
          <w:p>
            <w:r>
              <w:rPr>
                <w:rFonts w:ascii="Calibri" w:hAnsi="Calibri"/>
                <w:rFonts w:ascii="Calibri" w:hAnsi="Calibri"/>
                <w:b w:val="0"/>
                <w:sz w:val="20"/>
              </w:rPr>
              <w:t>Finalistes Pitch Day</w:t>
            </w:r>
          </w:p>
        </w:tc>
        <w:tc>
          <w:tcPr>
            <w:tcW w:type="dxa" w:w="4320"/>
          </w:tcPr>
          <w:p>
            <w:r>
              <w:rPr>
                <w:rFonts w:ascii="Calibri" w:hAnsi="Calibri"/>
                <w:rFonts w:ascii="Calibri" w:hAnsi="Calibri"/>
                <w:b w:val="0"/>
                <w:sz w:val="20"/>
              </w:rPr>
              <w:t>16 candidates</w:t>
            </w:r>
          </w:p>
        </w:tc>
      </w:tr>
      <w:tr>
        <w:tc>
          <w:tcPr>
            <w:tcW w:type="dxa" w:w="4320"/>
          </w:tcPr>
          <w:p>
            <w:r>
              <w:rPr>
                <w:rFonts w:ascii="Calibri" w:hAnsi="Calibri"/>
                <w:rFonts w:ascii="Calibri" w:hAnsi="Calibri"/>
                <w:b w:val="0"/>
                <w:sz w:val="20"/>
              </w:rPr>
              <w:t>Lauréates Pitch Day</w:t>
            </w:r>
          </w:p>
        </w:tc>
        <w:tc>
          <w:tcPr>
            <w:tcW w:type="dxa" w:w="4320"/>
          </w:tcPr>
          <w:p>
            <w:r>
              <w:rPr>
                <w:rFonts w:ascii="Calibri" w:hAnsi="Calibri"/>
                <w:rFonts w:ascii="Calibri" w:hAnsi="Calibri"/>
                <w:b w:val="0"/>
                <w:sz w:val="20"/>
              </w:rPr>
              <w:t>3 lauréates</w:t>
            </w:r>
          </w:p>
        </w:tc>
      </w:tr>
      <w:tr>
        <w:tc>
          <w:tcPr>
            <w:tcW w:type="dxa" w:w="4320"/>
          </w:tcPr>
          <w:p>
            <w:r>
              <w:rPr>
                <w:rFonts w:ascii="Calibri" w:hAnsi="Calibri"/>
                <w:rFonts w:ascii="Calibri" w:hAnsi="Calibri"/>
                <w:b w:val="0"/>
                <w:sz w:val="20"/>
              </w:rPr>
              <w:t>Prix remis lors de la cérémonie</w:t>
            </w:r>
          </w:p>
        </w:tc>
        <w:tc>
          <w:tcPr>
            <w:tcW w:type="dxa" w:w="4320"/>
          </w:tcPr>
          <w:p>
            <w:r>
              <w:rPr>
                <w:rFonts w:ascii="Calibri" w:hAnsi="Calibri"/>
                <w:rFonts w:ascii="Calibri" w:hAnsi="Calibri"/>
                <w:b w:val="0"/>
                <w:sz w:val="20"/>
              </w:rPr>
              <w:t>Plusieurs catégories</w:t>
            </w:r>
          </w:p>
        </w:tc>
      </w:tr>
      <w:tr>
        <w:tc>
          <w:tcPr>
            <w:tcW w:type="dxa" w:w="4320"/>
          </w:tcPr>
          <w:p>
            <w:r>
              <w:rPr>
                <w:rFonts w:ascii="Calibri" w:hAnsi="Calibri"/>
                <w:rFonts w:ascii="Calibri" w:hAnsi="Calibri"/>
                <w:b w:val="0"/>
                <w:sz w:val="20"/>
              </w:rPr>
              <w:t>Lieu principal</w:t>
            </w:r>
          </w:p>
        </w:tc>
        <w:tc>
          <w:tcPr>
            <w:tcW w:type="dxa" w:w="4320"/>
          </w:tcPr>
          <w:p>
            <w:r>
              <w:rPr>
                <w:rFonts w:ascii="Calibri" w:hAnsi="Calibri"/>
                <w:rFonts w:ascii="Calibri" w:hAnsi="Calibri"/>
                <w:b w:val="0"/>
                <w:sz w:val="20"/>
              </w:rPr>
              <w:t>Hôtel Kaloum, Conakry</w:t>
            </w:r>
          </w:p>
        </w:tc>
      </w:tr>
    </w:tbl>
    <w:p>
      <w:r>
        <w:rPr>
          <w:rFonts w:ascii="Calibri" w:hAnsi="Calibri"/>
          <w:rFonts w:ascii="Calibri" w:hAnsi="Calibri"/>
          <w:b/>
          <w:color w:val="000000"/>
          <w:sz w:val="28"/>
        </w:rPr>
        <w:t>5.2. Résultats par activité</w:t>
      </w:r>
    </w:p>
    <w:p>
      <w:pPr>
        <w:pStyle w:val="ListBullet"/>
        <w:spacing w:after="60"/>
        <w:ind w:left="360"/>
      </w:pPr>
      <w:r>
        <w:t>AWA Pitch Day : 16 jeunes femmes formées, 3 projets financés, un réseau entrepreneurial créé</w:t>
      </w:r>
    </w:p>
    <w:p>
      <w:pPr>
        <w:pStyle w:val="ListBullet"/>
        <w:spacing w:after="60"/>
        <w:ind w:left="360"/>
      </w:pPr>
      <w:r>
        <w:t>Grand Sommet (matin) : 300 jeunes sensibilisés au leadership féminin, dialogue intergénérationnel renforcé</w:t>
      </w:r>
    </w:p>
    <w:p>
      <w:pPr>
        <w:pStyle w:val="ListBullet"/>
        <w:spacing w:after="60"/>
        <w:ind w:left="360"/>
      </w:pPr>
      <w:r>
        <w:t>Grand Panel AWA (soir) : 4 femmes leaders de domaines stratégiques réunies, inspiration et transmission</w:t>
      </w:r>
    </w:p>
    <w:p>
      <w:pPr>
        <w:pStyle w:val="ListBullet"/>
        <w:spacing w:after="60"/>
        <w:ind w:left="360"/>
      </w:pPr>
      <w:r>
        <w:t>Cérémonie : 15+ pays représentés, visibilité panafricaine, reconnaissance institutionnelle des parcours</w:t>
      </w:r>
    </w:p>
    <w:p>
      <w:r>
        <w:rPr>
          <w:rFonts w:ascii="Calibri" w:hAnsi="Calibri"/>
          <w:rFonts w:ascii="Calibri" w:hAnsi="Calibri"/>
          <w:b/>
          <w:color w:val="000000"/>
          <w:sz w:val="28"/>
        </w:rPr>
        <w:t>5.3. Impact global</w:t>
      </w:r>
    </w:p>
    <w:p>
      <w:pPr>
        <w:pStyle w:val="ListBullet"/>
        <w:spacing w:after="60"/>
        <w:ind w:left="360"/>
      </w:pPr>
      <w:r>
        <w:t>Renforcement des capacités de plus de 300 personnes (jeunes et adultes)</w:t>
      </w:r>
    </w:p>
    <w:p>
      <w:pPr>
        <w:pStyle w:val="ListBullet"/>
        <w:spacing w:after="60"/>
        <w:ind w:left="360"/>
      </w:pPr>
      <w:r>
        <w:t>Mise en lumière de parcours féminins inspirants à l'échelle panafricaine</w:t>
      </w:r>
    </w:p>
    <w:p>
      <w:pPr>
        <w:pStyle w:val="ListBullet"/>
        <w:spacing w:after="60"/>
        <w:ind w:left="360"/>
      </w:pPr>
      <w:r>
        <w:t>Création d'un cadre d'échange entre générations, secteurs et pays</w:t>
      </w:r>
    </w:p>
    <w:p>
      <w:pPr>
        <w:pStyle w:val="ListBullet"/>
        <w:spacing w:after="60"/>
        <w:ind w:left="360"/>
      </w:pPr>
      <w:r>
        <w:t>Positionnement de la Guinée comme terre de référence pour l'excellence féminine africaine</w:t>
      </w:r>
    </w:p>
    <w:p>
      <w:pPr>
        <w:pStyle w:val="ListBullet"/>
        <w:spacing w:after="60"/>
        <w:ind w:left="360"/>
      </w:pPr>
      <w:r>
        <w:t>Contribution à la vision Simandou 2040 (développement humain, inclusion, compétences)</w:t>
      </w:r>
    </w:p>
    <w:p>
      <w:r>
        <w:rPr>
          <w:rFonts w:ascii="Calibri" w:hAnsi="Calibri"/>
          <w:rFonts w:ascii="Calibri" w:hAnsi="Calibri"/>
          <w:b/>
          <w:color w:val="B8860B"/>
          <w:sz w:val="36"/>
        </w:rPr>
        <w:t>6. DIFFICULTÉS RENCONTRÉES</w:t>
      </w:r>
    </w:p>
    <w:p>
      <w:r>
        <w:rPr>
          <w:rFonts w:ascii="Calibri" w:hAnsi="Calibri"/>
          <w:rFonts w:ascii="Calibri" w:hAnsi="Calibri"/>
          <w:b/>
          <w:color w:val="000000"/>
          <w:sz w:val="28"/>
        </w:rPr>
        <w:t>6.1. Mobilisation des partenaires financiers</w:t>
      </w:r>
    </w:p>
    <w:p>
      <w:r>
        <w:rPr>
          <w:rFonts w:ascii="Calibri" w:hAnsi="Calibri"/>
          <w:rFonts w:ascii="Calibri" w:hAnsi="Calibri"/>
          <w:b w:val="0"/>
          <w:i w:val="0"/>
          <w:sz w:val="22"/>
        </w:rPr>
        <w:t>La principale difficulté a été la mobilisation de partenaires financiers. L'événement a connu des contraintes dans la recherche d'appuis capables d'accompagner pleinement les candidates et de soutenir l'ensemble des activités prévues. Cette situation a nécessité des ajustements en cours de route et une gestion rigoureuse des ressources disponibles.</w:t>
      </w:r>
    </w:p>
    <w:p>
      <w:r>
        <w:rPr>
          <w:rFonts w:ascii="Calibri" w:hAnsi="Calibri"/>
          <w:rFonts w:ascii="Calibri" w:hAnsi="Calibri"/>
          <w:b/>
          <w:color w:val="000000"/>
          <w:sz w:val="28"/>
        </w:rPr>
        <w:t>6.2. Logistique et coordination</w:t>
      </w:r>
    </w:p>
    <w:p>
      <w:r>
        <w:rPr>
          <w:rFonts w:ascii="Calibri" w:hAnsi="Calibri"/>
          <w:rFonts w:ascii="Calibri" w:hAnsi="Calibri"/>
          <w:b w:val="0"/>
          <w:i w:val="0"/>
          <w:sz w:val="22"/>
        </w:rPr>
        <w:t>La coordination de trois événements majeurs en une semaine, avec des publics différents (jeunes enfants, entrepreneures, femmes leaders, institutions), a représenté un défi logistique important. La mobilisation des établissements scolaires pour le Grand Sommet et la gestion des déplacements des participantes internationales ont demandé une organisation soutenue.</w:t>
      </w:r>
    </w:p>
    <w:p>
      <w:r>
        <w:rPr>
          <w:rFonts w:ascii="Calibri" w:hAnsi="Calibri"/>
          <w:rFonts w:ascii="Calibri" w:hAnsi="Calibri"/>
          <w:b/>
          <w:color w:val="000000"/>
          <w:sz w:val="28"/>
        </w:rPr>
        <w:t>6.3. Communication et visibilité</w:t>
      </w:r>
    </w:p>
    <w:p>
      <w:r>
        <w:rPr>
          <w:rFonts w:ascii="Calibri" w:hAnsi="Calibri"/>
          <w:rFonts w:ascii="Calibri" w:hAnsi="Calibri"/>
          <w:b w:val="0"/>
          <w:i w:val="0"/>
          <w:sz w:val="22"/>
        </w:rPr>
        <w:t>Malgré une couverture médiatique positive, la communication pré-événement aurait pu être plus soutenue pour attirer davantage de candidatures au Pitch Day et de participants au Grand Sommet. La production de contenus visuels (photos, vidéos) pendant l'événement a été partielle, limitant la capacité de diffusion post-événement.</w:t>
      </w:r>
    </w:p>
    <w:p>
      <w:r>
        <w:rPr>
          <w:rFonts w:ascii="Calibri" w:hAnsi="Calibri"/>
          <w:rFonts w:ascii="Calibri" w:hAnsi="Calibri"/>
          <w:b/>
          <w:color w:val="B8860B"/>
          <w:sz w:val="36"/>
        </w:rPr>
        <w:t>7. ENSEIGNEMENTS ET PERSPECTIVES</w:t>
      </w:r>
    </w:p>
    <w:p>
      <w:r>
        <w:rPr>
          <w:rFonts w:ascii="Calibri" w:hAnsi="Calibri"/>
          <w:rFonts w:ascii="Calibri" w:hAnsi="Calibri"/>
          <w:b/>
          <w:color w:val="000000"/>
          <w:sz w:val="28"/>
        </w:rPr>
        <w:t>7.1. Ce qui a fonctionné</w:t>
      </w:r>
    </w:p>
    <w:p>
      <w:pPr>
        <w:pStyle w:val="ListBullet"/>
        <w:spacing w:after="60"/>
        <w:ind w:left="360"/>
      </w:pPr>
      <w:r>
        <w:t>La diversité des formats : formation, concours, dialogue, panel, cérémonie – a permis de toucher des publics variés</w:t>
      </w:r>
    </w:p>
    <w:p>
      <w:pPr>
        <w:pStyle w:val="ListBullet"/>
        <w:spacing w:after="60"/>
        <w:ind w:left="360"/>
      </w:pPr>
      <w:r>
        <w:t>L'implication des jeunes dans le Sommet Générationnel a créé un impact émotionnel et mémorable</w:t>
      </w:r>
    </w:p>
    <w:p>
      <w:pPr>
        <w:pStyle w:val="ListBullet"/>
        <w:spacing w:after="60"/>
        <w:ind w:left="360"/>
      </w:pPr>
      <w:r>
        <w:rPr>
          <w:rFonts w:ascii="Calibri" w:hAnsi="Calibri"/>
          <w:rFonts w:ascii="Calibri" w:hAnsi="Calibri"/>
          <w:b w:val="0"/>
          <w:sz w:val="22"/>
        </w:rPr>
        <w:t>Le Grand Panel AWA a montré la richesse et la diversité de l'excellence féminine africaine à travers 3 profils stratégiques : entrepreneuriat, mines et secteur public</w:t>
      </w:r>
    </w:p>
    <w:p>
      <w:pPr>
        <w:pStyle w:val="ListBullet"/>
      </w:pPr>
      <w:r>
        <w:rPr>
          <w:rFonts w:ascii="Calibri" w:hAnsi="Calibri"/>
          <w:rFonts w:ascii="Calibri" w:hAnsi="Calibri"/>
          <w:b w:val="0"/>
          <w:sz w:val="22"/>
        </w:rPr>
        <w:t>La certification internationale de l'Université Française a donné une crédibilité académique forte au programme de formation</w:t>
      </w:r>
    </w:p>
    <w:p>
      <w:pPr>
        <w:pStyle w:val="ListBullet"/>
        <w:spacing w:after="60"/>
        <w:ind w:left="360"/>
      </w:pPr>
      <w:r>
        <w:t>Le suivi post-événement des lauréates du Pitch Day (accompagnement technique) a donné du sens au concours</w:t>
      </w:r>
    </w:p>
    <w:p>
      <w:pPr>
        <w:pStyle w:val="ListBullet"/>
        <w:spacing w:after="60"/>
        <w:ind w:left="360"/>
      </w:pPr>
      <w:r>
        <w:t>La présence internationale (15+ pays) a renforcé le positionnement panafricain de l'initiative</w:t>
      </w:r>
    </w:p>
    <w:p>
      <w:r>
        <w:rPr>
          <w:rFonts w:ascii="Calibri" w:hAnsi="Calibri"/>
          <w:rFonts w:ascii="Calibri" w:hAnsi="Calibri"/>
          <w:b/>
          <w:color w:val="000000"/>
          <w:sz w:val="28"/>
        </w:rPr>
        <w:t>7.2. Ce qui peut être amélioré</w:t>
      </w:r>
    </w:p>
    <w:p>
      <w:pPr>
        <w:pStyle w:val="ListBullet"/>
        <w:spacing w:after="60"/>
        <w:ind w:left="360"/>
      </w:pPr>
      <w:r>
        <w:t>Renforcer le réseau de partenaires financiers dès la phase préparatoire</w:t>
      </w:r>
    </w:p>
    <w:p>
      <w:pPr>
        <w:pStyle w:val="ListBullet"/>
        <w:spacing w:after="60"/>
        <w:ind w:left="360"/>
      </w:pPr>
      <w:r>
        <w:t>Investir davantage dans la communication pré-événement (visuels, réseaux sociaux, presse)</w:t>
      </w:r>
    </w:p>
    <w:p>
      <w:pPr>
        <w:pStyle w:val="ListBullet"/>
        <w:spacing w:after="60"/>
        <w:ind w:left="360"/>
      </w:pPr>
      <w:r>
        <w:t>Sécuriser un budget dédié à la production de contenus (photos, vidéos, reportage)</w:t>
      </w:r>
    </w:p>
    <w:p>
      <w:pPr>
        <w:pStyle w:val="ListBullet"/>
        <w:spacing w:after="60"/>
        <w:ind w:left="360"/>
      </w:pPr>
      <w:r>
        <w:t>Anticiper davantage la logistique (transport, hébergement, restauration) pour les participants internationaux</w:t>
      </w:r>
    </w:p>
    <w:p>
      <w:pPr>
        <w:pStyle w:val="ListBullet"/>
        <w:spacing w:after="60"/>
        <w:ind w:left="360"/>
      </w:pPr>
      <w:r>
        <w:t>Structurer un comité de suivi post-événement pour mesurer l'impact à long terme</w:t>
      </w:r>
    </w:p>
    <w:p>
      <w:r>
        <w:rPr>
          <w:rFonts w:ascii="Calibri" w:hAnsi="Calibri"/>
          <w:rFonts w:ascii="Calibri" w:hAnsi="Calibri"/>
          <w:b/>
          <w:color w:val="000000"/>
          <w:sz w:val="28"/>
        </w:rPr>
        <w:t>7.3. Perspectives pour SEFA 2027</w:t>
      </w:r>
    </w:p>
    <w:p>
      <w:pPr>
        <w:pStyle w:val="ListBullet"/>
        <w:spacing w:after="60"/>
        <w:ind w:left="360"/>
      </w:pPr>
      <w:r>
        <w:t>Renforcer le partenariat avec Simandou Academy pour créer un programme de formation structurant (voir proposition de partenariat)</w:t>
      </w:r>
    </w:p>
    <w:p>
      <w:pPr>
        <w:pStyle w:val="ListBullet"/>
        <w:spacing w:after="60"/>
        <w:ind w:left="360"/>
      </w:pPr>
      <w:r>
        <w:t>Instaurer un Prix dédié « Simandou 2040 » pour reconnaître les femmes dans les secteurs stratégiques</w:t>
      </w:r>
    </w:p>
    <w:p>
      <w:pPr>
        <w:pStyle w:val="ListBullet"/>
        <w:spacing w:after="60"/>
        <w:ind w:left="360"/>
      </w:pPr>
      <w:r>
        <w:t>Élargir l'appel à candidatures du Pitch Day à l'échelle panafricaine (20+ pays)</w:t>
      </w:r>
    </w:p>
    <w:p>
      <w:pPr>
        <w:pStyle w:val="ListBullet"/>
        <w:spacing w:after="60"/>
        <w:ind w:left="360"/>
      </w:pPr>
      <w:r>
        <w:t>Intégrer davantage d'activités pour les jeunes (ateliers, mentorat, visites)</w:t>
      </w:r>
    </w:p>
    <w:p>
      <w:pPr>
        <w:pStyle w:val="ListBullet"/>
        <w:spacing w:after="60"/>
        <w:ind w:left="360"/>
      </w:pPr>
      <w:r>
        <w:t>Pérenniser le réseau des lauréates et des participantes (alumni AWA)</w:t>
      </w:r>
    </w:p>
    <w:p>
      <w:pPr>
        <w:pStyle w:val="ListBullet"/>
        <w:spacing w:after="60"/>
        <w:ind w:left="360"/>
      </w:pPr>
      <w:r>
        <w:t>Améliorer la couverture médiatique et la production de contenus (magazine, documentaire)</w:t>
      </w:r>
    </w:p>
    <w:p>
      <w:pPr>
        <w:pStyle w:val="ListBullet"/>
        <w:spacing w:after="60"/>
        <w:ind w:left="360"/>
      </w:pPr>
      <w:r>
        <w:t>Reproduire le format « matin générationnel / soir panel stratégique » du Grand Sommet, qui a fait ses preuves</w:t>
      </w:r>
    </w:p>
    <w:p>
      <w:r>
        <w:rPr>
          <w:rFonts w:ascii="Calibri" w:hAnsi="Calibri"/>
          <w:rFonts w:ascii="Calibri" w:hAnsi="Calibri"/>
          <w:b/>
          <w:color w:val="B8860B"/>
          <w:sz w:val="36"/>
        </w:rPr>
        <w:t>CONCLUSION</w:t>
      </w:r>
    </w:p>
    <w:p>
      <w:r>
        <w:rPr>
          <w:rFonts w:ascii="Calibri" w:hAnsi="Calibri"/>
          <w:rFonts w:ascii="Calibri" w:hAnsi="Calibri"/>
          <w:b w:val="0"/>
          <w:i w:val="0"/>
          <w:sz w:val="22"/>
        </w:rPr>
        <w:t>La Semaine de l'Excellence Féminine Africaine 2026 a été une réussite. Malgré les défis financiers et logistiques, l'événement a atteint ses objectifs : former, connecter, soutenir et reconnaître des femmes africaines d'exception.</w:t>
      </w:r>
    </w:p>
    <w:p>
      <w:r>
        <w:rPr>
          <w:rFonts w:ascii="Calibri" w:hAnsi="Calibri"/>
          <w:rFonts w:ascii="Calibri" w:hAnsi="Calibri"/>
          <w:b w:val="0"/>
          <w:i w:val="0"/>
          <w:sz w:val="22"/>
        </w:rPr>
        <w:t>L'AWA Pitch Day a donné des ailes à 16 jeunes entrepreneures. Le Sommet Générationnel a donné la parole à 300 jeunes. Le Grand Panel AWA a montré que l'excellence féminine s'exprime dans l'entreprise, dans la mine, dans l'administration, dans le terrain. La Cérémonie a célébré l'excellence de plus de 15 pays. Ces quatre temps forts, ensemble, ont créé un mouvement.</w:t>
      </w:r>
    </w:p>
    <w:p>
      <w:r>
        <w:rPr>
          <w:rFonts w:ascii="Calibri" w:hAnsi="Calibri"/>
          <w:rFonts w:ascii="Calibri" w:hAnsi="Calibri"/>
          <w:b w:val="0"/>
          <w:i w:val="0"/>
          <w:sz w:val="22"/>
        </w:rPr>
        <w:t>Pour SEFA 2027, l'ambition est de faire encore mieux : plus de partenaires, plus de visibilité, plus d'impact, plus de durabilité. La proposition de partenariat avec Simandou Academy est une première étape dans cette direction.</w:t>
      </w:r>
    </w:p>
    <w:p>
      <w:r>
        <w:rPr>
          <w:rFonts w:ascii="Calibri" w:hAnsi="Calibri"/>
          <w:rFonts w:ascii="Calibri" w:hAnsi="Calibri"/>
          <w:b/>
          <w:i/>
          <w:sz w:val="22"/>
        </w:rPr>
        <w:t>Les femmes africaines méritent d'être vues, entendues et célébrées. SEFA est là pour ça.</w:t>
      </w:r>
    </w:p>
    <w:p>
      <w:r>
        <w:rPr>
          <w:rFonts w:ascii="Calibri" w:hAnsi="Calibri"/>
          <w:rFonts w:ascii="Calibri" w:hAnsi="Calibri"/>
          <w:b/>
          <w:i w:val="0"/>
          <w:sz w:val="22"/>
        </w:rPr>
      </w:r>
    </w:p>
    <w:p>
      <w:pPr>
        <w:jc w:val="left"/>
      </w:pPr>
      <w:r>
        <w:rPr>
          <w:rFonts w:ascii="Calibri" w:hAnsi="Calibri"/>
          <w:rFonts w:ascii="Calibri" w:hAnsi="Calibri"/>
          <w:b w:val="0"/>
          <w:color w:val="000000"/>
          <w:sz w:val="22"/>
        </w:rPr>
        <w:t>Fait à Conakry, le _______________ 2026</w:t>
        <w:br/>
        <w:br/>
      </w:r>
      <w:r>
        <w:rPr>
          <w:rFonts w:ascii="Calibri" w:hAnsi="Calibri"/>
          <w:rFonts w:ascii="Calibri" w:hAnsi="Calibri"/>
          <w:b/>
          <w:color w:val="000000"/>
          <w:sz w:val="22"/>
        </w:rPr>
        <w:t>Makeme Konaté</w:t>
        <w:br/>
      </w:r>
      <w:r>
        <w:rPr>
          <w:rFonts w:ascii="Calibri" w:hAnsi="Calibri"/>
          <w:rFonts w:ascii="Calibri" w:hAnsi="Calibri"/>
          <w:b w:val="0"/>
          <w:color w:val="000000"/>
          <w:sz w:val="22"/>
        </w:rPr>
        <w:t>Fondatrice et Coordinatrice générale</w:t>
        <w:br/>
        <w:t>African Women's Awards – EspaceElles – Women and Challenge</w:t>
        <w:br/>
        <w:br/>
        <w:t>Signature : _______________</w:t>
      </w:r>
    </w:p>
    <w:p>
      <w:r>
        <w:rPr>
          <w:rFonts w:ascii="Calibri" w:hAnsi="Calibri"/>
          <w:rFonts w:ascii="Calibri" w:hAnsi="Calibri"/>
          <w:b/>
          <w:i w:val="0"/>
          <w:sz w:val="22"/>
        </w:rPr>
      </w:r>
    </w:p>
    <w:p>
      <w:pPr>
        <w:jc w:val="center"/>
      </w:pPr>
      <w:r>
        <w:rPr>
          <w:rFonts w:ascii="Calibri" w:hAnsi="Calibri"/>
          <w:rFonts w:ascii="Calibri" w:hAnsi="Calibri"/>
          <w:b w:val="0"/>
          <w:color w:val="646464"/>
          <w:sz w:val="20"/>
        </w:rPr>
        <w:t>Contact : contact@africanwomensawards.org | www.africanwomensawards.org</w:t>
        <w:br/>
        <w:t>+224 620 66 49 50 | +224 628 41 21 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